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F8F1" w14:textId="77777777" w:rsidR="00376DAE" w:rsidRPr="00CE0C51" w:rsidRDefault="00376DAE" w:rsidP="008B2043">
      <w:pPr>
        <w:spacing w:after="100" w:afterAutospacing="1"/>
        <w:rPr>
          <w:rFonts w:ascii="Arial" w:hAnsi="Arial" w:cs="Arial"/>
          <w:sz w:val="36"/>
          <w:szCs w:val="36"/>
        </w:rPr>
      </w:pPr>
      <w:r w:rsidRPr="00CE0C51">
        <w:rPr>
          <w:rFonts w:ascii="Arial" w:hAnsi="Arial" w:cs="Arial"/>
          <w:sz w:val="36"/>
          <w:szCs w:val="36"/>
        </w:rPr>
        <w:t>University Resources for Funding</w:t>
      </w:r>
    </w:p>
    <w:p w14:paraId="3474BF0E" w14:textId="69FE602D" w:rsidR="00355A04" w:rsidRDefault="00355A04" w:rsidP="008B2043">
      <w:pPr>
        <w:spacing w:after="100" w:afterAutospacing="1"/>
        <w:rPr>
          <w:rFonts w:ascii="Arial" w:hAnsi="Arial" w:cs="Arial"/>
          <w:b/>
          <w:sz w:val="28"/>
          <w:szCs w:val="28"/>
        </w:rPr>
      </w:pPr>
      <w:r>
        <w:rPr>
          <w:rFonts w:ascii="Arial" w:hAnsi="Arial" w:cs="Arial"/>
          <w:b/>
          <w:sz w:val="28"/>
          <w:szCs w:val="28"/>
        </w:rPr>
        <w:t xml:space="preserve">Cal Poly Humboldt </w:t>
      </w:r>
      <w:hyperlink r:id="rId5" w:history="1">
        <w:r w:rsidRPr="00355A04">
          <w:rPr>
            <w:rStyle w:val="Hyperlink"/>
            <w:rFonts w:ascii="Arial" w:hAnsi="Arial" w:cs="Arial"/>
            <w:b/>
            <w:sz w:val="28"/>
            <w:szCs w:val="28"/>
          </w:rPr>
          <w:t>Engagement Hub</w:t>
        </w:r>
      </w:hyperlink>
      <w:r w:rsidR="001E45E5">
        <w:rPr>
          <w:rFonts w:ascii="Arial" w:hAnsi="Arial" w:cs="Arial"/>
          <w:b/>
          <w:sz w:val="28"/>
          <w:szCs w:val="28"/>
        </w:rPr>
        <w:t xml:space="preserve"> – Internal Funding Opportunities</w:t>
      </w:r>
    </w:p>
    <w:p w14:paraId="14588562" w14:textId="57646BA0" w:rsidR="00355A04" w:rsidRPr="00355A04" w:rsidRDefault="00355A04" w:rsidP="008B2043">
      <w:pPr>
        <w:spacing w:after="100" w:afterAutospacing="1"/>
        <w:rPr>
          <w:rFonts w:ascii="Arial" w:hAnsi="Arial" w:cs="Arial"/>
          <w:bCs/>
          <w:sz w:val="28"/>
          <w:szCs w:val="28"/>
        </w:rPr>
      </w:pPr>
      <w:r>
        <w:rPr>
          <w:rFonts w:ascii="Arial" w:hAnsi="Arial" w:cs="Arial"/>
        </w:rPr>
        <w:t>Central repository for faculty, staff, and students to find information and applications for internally funded small grants, awards, stipends, scholarships, etc.</w:t>
      </w:r>
    </w:p>
    <w:p w14:paraId="674091B2" w14:textId="32279B12" w:rsidR="00376DAE" w:rsidRPr="00CE0C51" w:rsidRDefault="00CE0C51" w:rsidP="008B2043">
      <w:pPr>
        <w:spacing w:after="100" w:afterAutospacing="1"/>
        <w:rPr>
          <w:rFonts w:ascii="Arial" w:hAnsi="Arial" w:cs="Arial"/>
          <w:b/>
          <w:sz w:val="28"/>
          <w:szCs w:val="28"/>
        </w:rPr>
      </w:pPr>
      <w:r>
        <w:rPr>
          <w:rFonts w:ascii="Arial" w:hAnsi="Arial" w:cs="Arial"/>
          <w:b/>
          <w:sz w:val="28"/>
          <w:szCs w:val="28"/>
        </w:rPr>
        <w:t>Office of Diversity and Inclusion</w:t>
      </w:r>
      <w:r w:rsidR="009718AD">
        <w:rPr>
          <w:rFonts w:ascii="Arial" w:hAnsi="Arial" w:cs="Arial"/>
          <w:b/>
          <w:sz w:val="28"/>
          <w:szCs w:val="28"/>
        </w:rPr>
        <w:t xml:space="preserve"> - </w:t>
      </w:r>
      <w:hyperlink r:id="rId6" w:history="1">
        <w:r w:rsidR="009718AD" w:rsidRPr="009718AD">
          <w:rPr>
            <w:rStyle w:val="Hyperlink"/>
            <w:rFonts w:ascii="Arial" w:hAnsi="Arial" w:cs="Arial"/>
            <w:b/>
            <w:sz w:val="28"/>
            <w:szCs w:val="28"/>
          </w:rPr>
          <w:t>Diversity, Equity, Inclusion, and Accessibility Grant Program</w:t>
        </w:r>
      </w:hyperlink>
    </w:p>
    <w:p w14:paraId="2A373C29" w14:textId="77777777" w:rsidR="009718AD" w:rsidRDefault="009718AD" w:rsidP="008B2043">
      <w:pPr>
        <w:pStyle w:val="NormalWeb"/>
        <w:spacing w:before="0" w:beforeAutospacing="0"/>
        <w:rPr>
          <w:rFonts w:ascii="Arial" w:hAnsi="Arial" w:cs="Arial"/>
          <w:sz w:val="24"/>
          <w:szCs w:val="24"/>
        </w:rPr>
      </w:pPr>
      <w:r w:rsidRPr="009718AD">
        <w:rPr>
          <w:rFonts w:ascii="Arial" w:hAnsi="Arial" w:cs="Arial"/>
          <w:sz w:val="24"/>
          <w:szCs w:val="24"/>
        </w:rPr>
        <w:t>The Office of Diversity, Equity, and Inclusion (ODEI) and the Diversity, Equity, Inclusion, and Accessibility Grant Program Award Committee invites Cal Poly Humboldt students, student organizations, staff, and faculty to submit proposals for programs offered on campus to the university community that cultivate awareness and inclusivity of Diversity, Equity, Inclusion, and Accessibility (DEIA).</w:t>
      </w:r>
    </w:p>
    <w:p w14:paraId="09882517" w14:textId="10AD47BD" w:rsidR="002E1802" w:rsidRDefault="002E1802" w:rsidP="008B2043">
      <w:pPr>
        <w:pStyle w:val="NormalWeb"/>
        <w:spacing w:before="0" w:beforeAutospacing="0"/>
        <w:rPr>
          <w:rFonts w:ascii="Arial" w:hAnsi="Arial" w:cs="Arial"/>
          <w:sz w:val="24"/>
          <w:szCs w:val="24"/>
        </w:rPr>
      </w:pPr>
      <w:r w:rsidRPr="002E1802">
        <w:rPr>
          <w:rFonts w:ascii="Arial" w:hAnsi="Arial" w:cs="Arial"/>
          <w:sz w:val="24"/>
          <w:szCs w:val="24"/>
        </w:rPr>
        <w:t>Program expenses typically funded include speaker fees, travel for visiting speakers, event publicity and marketing, various expenses associated with individual activities/programs (from facility rental to printing event handouts), and many, many more.</w:t>
      </w:r>
    </w:p>
    <w:p w14:paraId="350ACC98" w14:textId="4F30BB63" w:rsidR="00CE0C51" w:rsidRPr="00C312C4" w:rsidRDefault="009718AD" w:rsidP="008B2043">
      <w:pPr>
        <w:spacing w:after="100" w:afterAutospacing="1"/>
        <w:rPr>
          <w:rFonts w:ascii="Arial" w:hAnsi="Arial" w:cs="Arial"/>
          <w:b/>
          <w:sz w:val="28"/>
          <w:szCs w:val="28"/>
        </w:rPr>
      </w:pPr>
      <w:hyperlink r:id="rId7" w:history="1">
        <w:r w:rsidR="00376DAE" w:rsidRPr="009718AD">
          <w:rPr>
            <w:rStyle w:val="Hyperlink"/>
            <w:rFonts w:ascii="Arial" w:hAnsi="Arial" w:cs="Arial"/>
            <w:b/>
            <w:sz w:val="28"/>
            <w:szCs w:val="28"/>
          </w:rPr>
          <w:t>Instructional Related Activities</w:t>
        </w:r>
        <w:r w:rsidRPr="009718AD">
          <w:rPr>
            <w:rStyle w:val="Hyperlink"/>
            <w:rFonts w:ascii="Arial" w:hAnsi="Arial" w:cs="Arial"/>
            <w:b/>
            <w:sz w:val="28"/>
            <w:szCs w:val="28"/>
          </w:rPr>
          <w:t xml:space="preserve"> (IRA) Funding</w:t>
        </w:r>
      </w:hyperlink>
    </w:p>
    <w:p w14:paraId="7A57B077" w14:textId="1B91B150" w:rsidR="00EF4CCB" w:rsidRDefault="00EF4CCB" w:rsidP="008B2043">
      <w:pPr>
        <w:spacing w:after="100" w:afterAutospacing="1"/>
        <w:rPr>
          <w:rFonts w:ascii="Arial" w:eastAsia="Times New Roman" w:hAnsi="Arial" w:cs="Arial"/>
          <w:lang w:eastAsia="en-US"/>
        </w:rPr>
      </w:pPr>
      <w:r w:rsidRPr="00EF4CCB">
        <w:rPr>
          <w:rFonts w:ascii="Arial" w:eastAsia="Times New Roman" w:hAnsi="Arial" w:cs="Arial"/>
          <w:lang w:eastAsia="en-US"/>
        </w:rPr>
        <w:t xml:space="preserve">The IRA fee was established to provide support for essential educational experiences and activities that aid and supplement the fundamental educational mission of the institution. </w:t>
      </w:r>
    </w:p>
    <w:p w14:paraId="3F4C1691" w14:textId="03DCECB6" w:rsidR="009718AD" w:rsidRPr="00EF4CCB" w:rsidRDefault="009718AD" w:rsidP="008B2043">
      <w:pPr>
        <w:spacing w:after="100" w:afterAutospacing="1"/>
        <w:rPr>
          <w:rFonts w:ascii="Arial" w:eastAsia="Times New Roman" w:hAnsi="Arial" w:cs="Arial"/>
          <w:lang w:eastAsia="en-US"/>
        </w:rPr>
      </w:pPr>
      <w:r>
        <w:rPr>
          <w:rFonts w:ascii="Arial" w:eastAsia="Times New Roman" w:hAnsi="Arial" w:cs="Arial"/>
          <w:lang w:eastAsia="en-US"/>
        </w:rPr>
        <w:t>The application period for IRA funding is usually the end of Feb through mid-March. Funding decisions are typically made and communicated out in May.</w:t>
      </w:r>
    </w:p>
    <w:p w14:paraId="22E5C292" w14:textId="3EFC3F80" w:rsidR="00CE0C51" w:rsidRPr="00C312C4" w:rsidRDefault="009718AD" w:rsidP="008B2043">
      <w:pPr>
        <w:spacing w:after="100" w:afterAutospacing="1"/>
        <w:rPr>
          <w:rFonts w:ascii="Arial" w:hAnsi="Arial" w:cs="Arial"/>
          <w:b/>
          <w:sz w:val="28"/>
          <w:szCs w:val="28"/>
        </w:rPr>
      </w:pPr>
      <w:hyperlink r:id="rId8" w:history="1">
        <w:r w:rsidR="00CE0C51" w:rsidRPr="009718AD">
          <w:rPr>
            <w:rStyle w:val="Hyperlink"/>
            <w:rFonts w:ascii="Arial" w:hAnsi="Arial" w:cs="Arial"/>
            <w:b/>
            <w:sz w:val="28"/>
            <w:szCs w:val="28"/>
          </w:rPr>
          <w:t>Associated Students (</w:t>
        </w:r>
        <w:r w:rsidR="00376DAE" w:rsidRPr="009718AD">
          <w:rPr>
            <w:rStyle w:val="Hyperlink"/>
            <w:rFonts w:ascii="Arial" w:hAnsi="Arial" w:cs="Arial"/>
            <w:b/>
            <w:sz w:val="28"/>
            <w:szCs w:val="28"/>
          </w:rPr>
          <w:t>AS</w:t>
        </w:r>
        <w:r w:rsidR="00CE0C51" w:rsidRPr="009718AD">
          <w:rPr>
            <w:rStyle w:val="Hyperlink"/>
            <w:rFonts w:ascii="Arial" w:hAnsi="Arial" w:cs="Arial"/>
            <w:b/>
            <w:sz w:val="28"/>
            <w:szCs w:val="28"/>
          </w:rPr>
          <w:t>)</w:t>
        </w:r>
        <w:r w:rsidR="00376DAE" w:rsidRPr="009718AD">
          <w:rPr>
            <w:rStyle w:val="Hyperlink"/>
            <w:rFonts w:ascii="Arial" w:hAnsi="Arial" w:cs="Arial"/>
            <w:b/>
            <w:sz w:val="28"/>
            <w:szCs w:val="28"/>
          </w:rPr>
          <w:t xml:space="preserve"> Club Grants</w:t>
        </w:r>
      </w:hyperlink>
    </w:p>
    <w:p w14:paraId="7B3B7595" w14:textId="6E1CEC29" w:rsidR="009718AD" w:rsidRDefault="009718AD" w:rsidP="008B2043">
      <w:pPr>
        <w:spacing w:after="100" w:afterAutospacing="1"/>
        <w:rPr>
          <w:rFonts w:ascii="Arial" w:hAnsi="Arial" w:cs="Arial"/>
        </w:rPr>
      </w:pPr>
      <w:r w:rsidRPr="009718AD">
        <w:rPr>
          <w:rFonts w:ascii="Arial" w:hAnsi="Arial" w:cs="Arial"/>
        </w:rPr>
        <w:t xml:space="preserve">Student Organizations (aka Clubs) </w:t>
      </w:r>
      <w:r>
        <w:rPr>
          <w:rFonts w:ascii="Arial" w:hAnsi="Arial" w:cs="Arial"/>
        </w:rPr>
        <w:t xml:space="preserve">can apply for grants from Associated Students. </w:t>
      </w:r>
      <w:r w:rsidRPr="009718AD">
        <w:rPr>
          <w:rFonts w:ascii="Arial" w:hAnsi="Arial" w:cs="Arial"/>
        </w:rPr>
        <w:t>These grants are available to fund the events, fund conference registrations and compensate club members for the work they do to facilitate events</w:t>
      </w:r>
      <w:r>
        <w:rPr>
          <w:rFonts w:ascii="Arial" w:hAnsi="Arial" w:cs="Arial"/>
        </w:rPr>
        <w:t>.</w:t>
      </w:r>
    </w:p>
    <w:p w14:paraId="337D5B5E" w14:textId="55CEE335" w:rsidR="00CE0C51" w:rsidRPr="00C312C4" w:rsidRDefault="00376DAE" w:rsidP="008B2043">
      <w:pPr>
        <w:spacing w:after="100" w:afterAutospacing="1"/>
        <w:rPr>
          <w:rStyle w:val="Strong"/>
          <w:rFonts w:ascii="Arial" w:hAnsi="Arial" w:cs="Arial"/>
          <w:bCs w:val="0"/>
          <w:sz w:val="28"/>
          <w:szCs w:val="28"/>
        </w:rPr>
      </w:pPr>
      <w:r w:rsidRPr="00CE0C51">
        <w:rPr>
          <w:rFonts w:ascii="Arial" w:hAnsi="Arial" w:cs="Arial"/>
          <w:b/>
          <w:sz w:val="28"/>
          <w:szCs w:val="28"/>
        </w:rPr>
        <w:t>Lottery Funds</w:t>
      </w:r>
      <w:r w:rsidR="00CE0C51">
        <w:rPr>
          <w:rFonts w:ascii="Arial" w:hAnsi="Arial" w:cs="Arial"/>
          <w:b/>
          <w:sz w:val="28"/>
          <w:szCs w:val="28"/>
        </w:rPr>
        <w:t xml:space="preserve"> –</w:t>
      </w:r>
      <w:r w:rsidR="00C85494">
        <w:rPr>
          <w:rFonts w:ascii="Arial" w:hAnsi="Arial" w:cs="Arial"/>
          <w:b/>
          <w:sz w:val="28"/>
          <w:szCs w:val="28"/>
        </w:rPr>
        <w:t xml:space="preserve"> </w:t>
      </w:r>
      <w:r w:rsidR="00CE0C51">
        <w:rPr>
          <w:rFonts w:ascii="Arial" w:hAnsi="Arial" w:cs="Arial"/>
          <w:b/>
          <w:sz w:val="28"/>
          <w:szCs w:val="28"/>
        </w:rPr>
        <w:t>Office of the Provost</w:t>
      </w:r>
    </w:p>
    <w:p w14:paraId="6B270521" w14:textId="77777777" w:rsidR="00921883" w:rsidRDefault="00921883" w:rsidP="008B2043">
      <w:pPr>
        <w:spacing w:after="100" w:afterAutospacing="1"/>
        <w:rPr>
          <w:rFonts w:ascii="Arial" w:eastAsia="Times New Roman" w:hAnsi="Arial" w:cs="Arial"/>
        </w:rPr>
      </w:pPr>
      <w:r w:rsidRPr="00921883">
        <w:rPr>
          <w:rStyle w:val="Strong"/>
          <w:rFonts w:ascii="Arial" w:eastAsia="Times New Roman" w:hAnsi="Arial" w:cs="Arial"/>
        </w:rPr>
        <w:t> </w:t>
      </w:r>
      <w:r w:rsidRPr="00921883">
        <w:rPr>
          <w:rFonts w:ascii="Arial" w:eastAsia="Times New Roman" w:hAnsi="Arial" w:cs="Arial"/>
        </w:rPr>
        <w:t>“…</w:t>
      </w:r>
      <w:r w:rsidR="00EF4CCB">
        <w:rPr>
          <w:rFonts w:ascii="Arial" w:eastAsia="Times New Roman" w:hAnsi="Arial" w:cs="Arial"/>
        </w:rPr>
        <w:t xml:space="preserve"> </w:t>
      </w:r>
      <w:r w:rsidRPr="00921883">
        <w:rPr>
          <w:rFonts w:ascii="Arial" w:eastAsia="Times New Roman" w:hAnsi="Arial" w:cs="Arial"/>
        </w:rPr>
        <w:t>all funds allocated from the California State Lottery Education Fund shall be used exclusively for the education of pupils and students and no funds shall be spent for acquisition of real property, construction of facilities, financing of research or any other non-instructional purpose.” </w:t>
      </w:r>
    </w:p>
    <w:p w14:paraId="3F326C21" w14:textId="77777777" w:rsidR="00CF5A1A" w:rsidRDefault="00CF5A1A" w:rsidP="008B2043">
      <w:pPr>
        <w:spacing w:after="100" w:afterAutospacing="1"/>
        <w:rPr>
          <w:rFonts w:ascii="Arial" w:hAnsi="Arial" w:cs="Arial"/>
          <w:b/>
          <w:sz w:val="28"/>
          <w:szCs w:val="28"/>
        </w:rPr>
      </w:pPr>
    </w:p>
    <w:p w14:paraId="7E9C8241" w14:textId="77777777" w:rsidR="00CF5A1A" w:rsidRDefault="00CF5A1A" w:rsidP="008B2043">
      <w:pPr>
        <w:spacing w:after="100" w:afterAutospacing="1"/>
        <w:rPr>
          <w:rFonts w:ascii="Arial" w:hAnsi="Arial" w:cs="Arial"/>
          <w:b/>
          <w:sz w:val="28"/>
          <w:szCs w:val="28"/>
        </w:rPr>
      </w:pPr>
    </w:p>
    <w:p w14:paraId="4378D432" w14:textId="77777777" w:rsidR="00CF5A1A" w:rsidRDefault="00CF5A1A" w:rsidP="008B2043">
      <w:pPr>
        <w:spacing w:after="100" w:afterAutospacing="1"/>
        <w:rPr>
          <w:rFonts w:ascii="Arial" w:hAnsi="Arial" w:cs="Arial"/>
          <w:b/>
          <w:sz w:val="28"/>
          <w:szCs w:val="28"/>
        </w:rPr>
      </w:pPr>
    </w:p>
    <w:p w14:paraId="507908D2" w14:textId="77777777" w:rsidR="00CF5A1A" w:rsidRDefault="00CF5A1A" w:rsidP="008B2043">
      <w:pPr>
        <w:spacing w:after="100" w:afterAutospacing="1"/>
        <w:rPr>
          <w:rFonts w:ascii="Arial" w:hAnsi="Arial" w:cs="Arial"/>
          <w:b/>
          <w:sz w:val="28"/>
          <w:szCs w:val="28"/>
        </w:rPr>
      </w:pPr>
    </w:p>
    <w:p w14:paraId="1010381F" w14:textId="77777777" w:rsidR="00CF5A1A" w:rsidRDefault="00CF5A1A" w:rsidP="008B2043">
      <w:pPr>
        <w:spacing w:after="100" w:afterAutospacing="1"/>
        <w:rPr>
          <w:rFonts w:ascii="Arial" w:hAnsi="Arial" w:cs="Arial"/>
          <w:b/>
          <w:sz w:val="28"/>
          <w:szCs w:val="28"/>
        </w:rPr>
      </w:pPr>
    </w:p>
    <w:p w14:paraId="61C53264" w14:textId="77777777" w:rsidR="00CF5A1A" w:rsidRDefault="00CF5A1A" w:rsidP="008B2043">
      <w:pPr>
        <w:spacing w:after="100" w:afterAutospacing="1"/>
        <w:rPr>
          <w:rFonts w:ascii="Arial" w:hAnsi="Arial" w:cs="Arial"/>
          <w:b/>
          <w:sz w:val="28"/>
          <w:szCs w:val="28"/>
        </w:rPr>
      </w:pPr>
    </w:p>
    <w:p w14:paraId="5474313F" w14:textId="5945B1DC" w:rsidR="00376DAE" w:rsidRPr="00CE0C51" w:rsidRDefault="00376DAE" w:rsidP="008B2043">
      <w:pPr>
        <w:spacing w:after="100" w:afterAutospacing="1"/>
        <w:rPr>
          <w:rFonts w:ascii="Arial" w:hAnsi="Arial" w:cs="Arial"/>
          <w:b/>
          <w:sz w:val="28"/>
          <w:szCs w:val="28"/>
        </w:rPr>
      </w:pPr>
      <w:r w:rsidRPr="00CE0C51">
        <w:rPr>
          <w:rFonts w:ascii="Arial" w:hAnsi="Arial" w:cs="Arial"/>
          <w:b/>
          <w:sz w:val="28"/>
          <w:szCs w:val="28"/>
        </w:rPr>
        <w:t>Other Resources</w:t>
      </w:r>
      <w:r w:rsidR="00CE0C51">
        <w:rPr>
          <w:rFonts w:ascii="Arial" w:hAnsi="Arial" w:cs="Arial"/>
          <w:b/>
          <w:sz w:val="28"/>
          <w:szCs w:val="28"/>
        </w:rPr>
        <w:t xml:space="preserve"> </w:t>
      </w:r>
    </w:p>
    <w:p w14:paraId="089217BB" w14:textId="77777777" w:rsidR="00CE0C51" w:rsidRPr="00C312C4" w:rsidRDefault="00CE0C51" w:rsidP="008B2043">
      <w:pPr>
        <w:spacing w:after="100" w:afterAutospacing="1"/>
        <w:rPr>
          <w:rFonts w:ascii="Arial" w:hAnsi="Arial" w:cs="Arial"/>
          <w:sz w:val="28"/>
          <w:szCs w:val="28"/>
        </w:rPr>
      </w:pPr>
      <w:r>
        <w:rPr>
          <w:rFonts w:ascii="Arial" w:hAnsi="Arial" w:cs="Arial"/>
          <w:sz w:val="28"/>
          <w:szCs w:val="28"/>
        </w:rPr>
        <w:t xml:space="preserve">HSU </w:t>
      </w:r>
      <w:r w:rsidR="00376DAE" w:rsidRPr="00CE0C51">
        <w:rPr>
          <w:rFonts w:ascii="Arial" w:hAnsi="Arial" w:cs="Arial"/>
          <w:sz w:val="28"/>
          <w:szCs w:val="28"/>
        </w:rPr>
        <w:t xml:space="preserve">Library </w:t>
      </w:r>
    </w:p>
    <w:p w14:paraId="67A50C3D" w14:textId="77777777" w:rsidR="00376DAE" w:rsidRPr="00CE0C51" w:rsidRDefault="00376DAE" w:rsidP="008B2043">
      <w:pPr>
        <w:spacing w:after="100" w:afterAutospacing="1"/>
        <w:rPr>
          <w:rFonts w:ascii="Arial" w:eastAsia="Times New Roman" w:hAnsi="Arial" w:cs="Arial"/>
          <w:b/>
        </w:rPr>
      </w:pPr>
      <w:r w:rsidRPr="00CE0C51">
        <w:rPr>
          <w:rFonts w:ascii="Arial" w:eastAsia="Times New Roman" w:hAnsi="Arial" w:cs="Arial"/>
          <w:b/>
        </w:rPr>
        <w:t xml:space="preserve">Humboldt Scholars Lab </w:t>
      </w:r>
    </w:p>
    <w:p w14:paraId="41D37FEA" w14:textId="60DE9389" w:rsidR="00376DAE" w:rsidRPr="00921883" w:rsidRDefault="008B2043" w:rsidP="008B2043">
      <w:pPr>
        <w:spacing w:after="100" w:afterAutospacing="1"/>
        <w:rPr>
          <w:rFonts w:ascii="Arial" w:eastAsia="Times New Roman" w:hAnsi="Arial" w:cs="Arial"/>
        </w:rPr>
      </w:pPr>
      <w:r>
        <w:rPr>
          <w:rFonts w:ascii="Arial" w:eastAsia="Times New Roman" w:hAnsi="Arial" w:cs="Arial"/>
        </w:rPr>
        <w:t>The Humboldt Scholars Lab is</w:t>
      </w:r>
      <w:r w:rsidR="00376DAE" w:rsidRPr="00921883">
        <w:rPr>
          <w:rFonts w:ascii="Arial" w:eastAsia="Times New Roman" w:hAnsi="Arial" w:cs="Arial"/>
        </w:rPr>
        <w:t xml:space="preserve"> a place dedicated to foster collaboration between HSU students and faculty in advanced studies or digital humanities and scholarship projects that require consulta</w:t>
      </w:r>
      <w:r>
        <w:rPr>
          <w:rFonts w:ascii="Arial" w:eastAsia="Times New Roman" w:hAnsi="Arial" w:cs="Arial"/>
        </w:rPr>
        <w:t xml:space="preserve">tion, planning, and technology. </w:t>
      </w:r>
      <w:r w:rsidR="00376DAE" w:rsidRPr="00921883">
        <w:rPr>
          <w:rFonts w:ascii="Arial" w:eastAsia="Times New Roman" w:hAnsi="Arial" w:cs="Arial"/>
        </w:rPr>
        <w:t>Conversations about research interests and collaborations on digital humanities or science projects, geospatial information projects, digital scholarship, and research data services are developed in the Scholars Lab and shared with the research community.</w:t>
      </w:r>
    </w:p>
    <w:p w14:paraId="69DF023B" w14:textId="77777777" w:rsidR="00376DAE" w:rsidRPr="00CE0C51" w:rsidRDefault="00376DAE" w:rsidP="008B2043">
      <w:pPr>
        <w:spacing w:after="100" w:afterAutospacing="1"/>
        <w:rPr>
          <w:rFonts w:ascii="Arial" w:eastAsia="Times New Roman" w:hAnsi="Arial" w:cs="Arial"/>
          <w:b/>
        </w:rPr>
      </w:pPr>
      <w:r w:rsidRPr="00CE0C51">
        <w:rPr>
          <w:rFonts w:ascii="Arial" w:eastAsia="Times New Roman" w:hAnsi="Arial" w:cs="Arial"/>
          <w:b/>
        </w:rPr>
        <w:t xml:space="preserve">Digital Media Lab </w:t>
      </w:r>
    </w:p>
    <w:p w14:paraId="2B65838D" w14:textId="77777777" w:rsidR="00376DAE" w:rsidRPr="00921883" w:rsidRDefault="00376DAE" w:rsidP="008B2043">
      <w:pPr>
        <w:spacing w:after="100" w:afterAutospacing="1"/>
        <w:rPr>
          <w:rFonts w:ascii="Arial" w:hAnsi="Arial" w:cs="Arial"/>
        </w:rPr>
      </w:pPr>
      <w:r w:rsidRPr="00921883">
        <w:rPr>
          <w:rFonts w:ascii="Arial" w:eastAsia="Times New Roman" w:hAnsi="Arial" w:cs="Arial"/>
        </w:rPr>
        <w:t>The Digital Lab provides all students with access to audio/video production technologies and instruction necessary to communicate scholarship beyond the classroom.</w:t>
      </w:r>
    </w:p>
    <w:p w14:paraId="70748433" w14:textId="77777777" w:rsidR="00921883" w:rsidRPr="00CE0C51" w:rsidRDefault="00921883" w:rsidP="008B2043">
      <w:pPr>
        <w:spacing w:after="100" w:afterAutospacing="1"/>
        <w:rPr>
          <w:rFonts w:ascii="Arial" w:eastAsia="Times New Roman" w:hAnsi="Arial" w:cs="Arial"/>
          <w:b/>
        </w:rPr>
      </w:pPr>
      <w:r w:rsidRPr="00CE0C51">
        <w:rPr>
          <w:rFonts w:ascii="Arial" w:eastAsia="Times New Roman" w:hAnsi="Arial" w:cs="Arial"/>
          <w:b/>
        </w:rPr>
        <w:t xml:space="preserve">The Data &amp; Geographic Information Systems (GIS) Visualization Lab </w:t>
      </w:r>
    </w:p>
    <w:p w14:paraId="41007969" w14:textId="77777777" w:rsidR="00376DAE" w:rsidRPr="00921883" w:rsidRDefault="00921883" w:rsidP="008B2043">
      <w:pPr>
        <w:spacing w:after="100" w:afterAutospacing="1"/>
        <w:rPr>
          <w:rFonts w:ascii="Arial" w:eastAsia="Times New Roman" w:hAnsi="Arial" w:cs="Arial"/>
        </w:rPr>
      </w:pPr>
      <w:r w:rsidRPr="00921883">
        <w:rPr>
          <w:rFonts w:ascii="Arial" w:eastAsia="Times New Roman" w:hAnsi="Arial" w:cs="Arial"/>
        </w:rPr>
        <w:t>This lab provides students with the software, hardware and training necessary for effective data visualization and communication and preparation for joining a skilled workforce</w:t>
      </w:r>
    </w:p>
    <w:sectPr w:rsidR="00376DAE" w:rsidRPr="00921883" w:rsidSect="00C312C4">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ACD"/>
    <w:multiLevelType w:val="hybridMultilevel"/>
    <w:tmpl w:val="25E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B3069"/>
    <w:multiLevelType w:val="hybridMultilevel"/>
    <w:tmpl w:val="EB04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064BE"/>
    <w:multiLevelType w:val="hybridMultilevel"/>
    <w:tmpl w:val="1E8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8810">
    <w:abstractNumId w:val="1"/>
  </w:num>
  <w:num w:numId="2" w16cid:durableId="1149370438">
    <w:abstractNumId w:val="2"/>
  </w:num>
  <w:num w:numId="3" w16cid:durableId="2399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DAE"/>
    <w:rsid w:val="001E45E5"/>
    <w:rsid w:val="002E1802"/>
    <w:rsid w:val="00355A04"/>
    <w:rsid w:val="00376DAE"/>
    <w:rsid w:val="00822D2A"/>
    <w:rsid w:val="008B2043"/>
    <w:rsid w:val="00921883"/>
    <w:rsid w:val="009718AD"/>
    <w:rsid w:val="00B40FA1"/>
    <w:rsid w:val="00C312C4"/>
    <w:rsid w:val="00C85494"/>
    <w:rsid w:val="00CE0C51"/>
    <w:rsid w:val="00CF5A1A"/>
    <w:rsid w:val="00EF4CCB"/>
    <w:rsid w:val="00F117CB"/>
    <w:rsid w:val="00F21594"/>
    <w:rsid w:val="00F27C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79933E"/>
  <w15:docId w15:val="{C8173AC4-BE7B-4806-B5BF-8E7324F6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1883"/>
    <w:rPr>
      <w:b/>
      <w:bCs/>
    </w:rPr>
  </w:style>
  <w:style w:type="paragraph" w:styleId="NormalWeb">
    <w:name w:val="Normal (Web)"/>
    <w:basedOn w:val="Normal"/>
    <w:uiPriority w:val="99"/>
    <w:unhideWhenUsed/>
    <w:rsid w:val="00921883"/>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EF4CCB"/>
    <w:rPr>
      <w:color w:val="0000FF" w:themeColor="hyperlink"/>
      <w:u w:val="single"/>
    </w:rPr>
  </w:style>
  <w:style w:type="character" w:styleId="UnresolvedMention">
    <w:name w:val="Unresolved Mention"/>
    <w:basedOn w:val="DefaultParagraphFont"/>
    <w:uiPriority w:val="99"/>
    <w:semiHidden/>
    <w:unhideWhenUsed/>
    <w:rsid w:val="009718AD"/>
    <w:rPr>
      <w:color w:val="605E5C"/>
      <w:shd w:val="clear" w:color="auto" w:fill="E1DFDD"/>
    </w:rPr>
  </w:style>
  <w:style w:type="character" w:styleId="FollowedHyperlink">
    <w:name w:val="FollowedHyperlink"/>
    <w:basedOn w:val="DefaultParagraphFont"/>
    <w:uiPriority w:val="99"/>
    <w:semiHidden/>
    <w:unhideWhenUsed/>
    <w:rsid w:val="009718AD"/>
    <w:rPr>
      <w:color w:val="800080" w:themeColor="followedHyperlink"/>
      <w:u w:val="single"/>
    </w:rPr>
  </w:style>
  <w:style w:type="paragraph" w:styleId="ListParagraph">
    <w:name w:val="List Paragraph"/>
    <w:basedOn w:val="Normal"/>
    <w:uiPriority w:val="34"/>
    <w:qFormat/>
    <w:rsid w:val="00C85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7498">
      <w:bodyDiv w:val="1"/>
      <w:marLeft w:val="0"/>
      <w:marRight w:val="0"/>
      <w:marTop w:val="0"/>
      <w:marBottom w:val="0"/>
      <w:divBdr>
        <w:top w:val="none" w:sz="0" w:space="0" w:color="auto"/>
        <w:left w:val="none" w:sz="0" w:space="0" w:color="auto"/>
        <w:bottom w:val="none" w:sz="0" w:space="0" w:color="auto"/>
        <w:right w:val="none" w:sz="0" w:space="0" w:color="auto"/>
      </w:divBdr>
    </w:div>
    <w:div w:id="1671638170">
      <w:bodyDiv w:val="1"/>
      <w:marLeft w:val="0"/>
      <w:marRight w:val="0"/>
      <w:marTop w:val="0"/>
      <w:marBottom w:val="0"/>
      <w:divBdr>
        <w:top w:val="none" w:sz="0" w:space="0" w:color="auto"/>
        <w:left w:val="none" w:sz="0" w:space="0" w:color="auto"/>
        <w:bottom w:val="none" w:sz="0" w:space="0" w:color="auto"/>
        <w:right w:val="none" w:sz="0" w:space="0" w:color="auto"/>
      </w:divBdr>
      <w:divsChild>
        <w:div w:id="1429811325">
          <w:marLeft w:val="0"/>
          <w:marRight w:val="0"/>
          <w:marTop w:val="0"/>
          <w:marBottom w:val="0"/>
          <w:divBdr>
            <w:top w:val="none" w:sz="0" w:space="0" w:color="auto"/>
            <w:left w:val="none" w:sz="0" w:space="0" w:color="auto"/>
            <w:bottom w:val="none" w:sz="0" w:space="0" w:color="auto"/>
            <w:right w:val="none" w:sz="0" w:space="0" w:color="auto"/>
          </w:divBdr>
        </w:div>
        <w:div w:id="1121457112">
          <w:marLeft w:val="0"/>
          <w:marRight w:val="0"/>
          <w:marTop w:val="0"/>
          <w:marBottom w:val="0"/>
          <w:divBdr>
            <w:top w:val="none" w:sz="0" w:space="0" w:color="auto"/>
            <w:left w:val="none" w:sz="0" w:space="0" w:color="auto"/>
            <w:bottom w:val="none" w:sz="0" w:space="0" w:color="auto"/>
            <w:right w:val="none" w:sz="0" w:space="0" w:color="auto"/>
          </w:divBdr>
        </w:div>
        <w:div w:id="1252658741">
          <w:marLeft w:val="0"/>
          <w:marRight w:val="0"/>
          <w:marTop w:val="0"/>
          <w:marBottom w:val="0"/>
          <w:divBdr>
            <w:top w:val="none" w:sz="0" w:space="0" w:color="auto"/>
            <w:left w:val="none" w:sz="0" w:space="0" w:color="auto"/>
            <w:bottom w:val="none" w:sz="0" w:space="0" w:color="auto"/>
            <w:right w:val="none" w:sz="0" w:space="0" w:color="auto"/>
          </w:divBdr>
        </w:div>
        <w:div w:id="95445402">
          <w:marLeft w:val="0"/>
          <w:marRight w:val="0"/>
          <w:marTop w:val="0"/>
          <w:marBottom w:val="0"/>
          <w:divBdr>
            <w:top w:val="none" w:sz="0" w:space="0" w:color="auto"/>
            <w:left w:val="none" w:sz="0" w:space="0" w:color="auto"/>
            <w:bottom w:val="none" w:sz="0" w:space="0" w:color="auto"/>
            <w:right w:val="none" w:sz="0" w:space="0" w:color="auto"/>
          </w:divBdr>
        </w:div>
      </w:divsChild>
    </w:div>
    <w:div w:id="2109808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ociatedstudents.humboldt.edu/grants-student-organizations-0" TargetMode="External"/><Relationship Id="rId3" Type="http://schemas.openxmlformats.org/officeDocument/2006/relationships/settings" Target="settings.xml"/><Relationship Id="rId7" Type="http://schemas.openxmlformats.org/officeDocument/2006/relationships/hyperlink" Target="https://associatedstudents.humboldt.edu/ira-f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versity.humboldt.edu/content/diversity-equity-inclusion-and-accessibility-grants" TargetMode="External"/><Relationship Id="rId5" Type="http://schemas.openxmlformats.org/officeDocument/2006/relationships/hyperlink" Target="https://humboldt.inforeadyscale.com/hu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A. Patzlaff</dc:creator>
  <cp:keywords/>
  <dc:description/>
  <cp:lastModifiedBy>Megan E Siems</cp:lastModifiedBy>
  <cp:revision>4</cp:revision>
  <dcterms:created xsi:type="dcterms:W3CDTF">2023-08-22T19:00:00Z</dcterms:created>
  <dcterms:modified xsi:type="dcterms:W3CDTF">2023-08-22T19:10:00Z</dcterms:modified>
</cp:coreProperties>
</file>